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0EF6" w14:textId="77777777" w:rsidR="006741EB" w:rsidRDefault="006A3388" w:rsidP="006A3388">
      <w:pPr>
        <w:shd w:val="clear" w:color="auto" w:fill="FFFFFF"/>
        <w:spacing w:after="0" w:line="240" w:lineRule="auto"/>
        <w:ind w:left="216"/>
        <w:jc w:val="center"/>
        <w:rPr>
          <w:rFonts w:eastAsia="Times New Roman" w:cs="Arial"/>
          <w:b/>
          <w:color w:val="222222"/>
          <w:sz w:val="28"/>
          <w:szCs w:val="19"/>
        </w:rPr>
      </w:pPr>
      <w:bookmarkStart w:id="0" w:name="_GoBack"/>
      <w:bookmarkEnd w:id="0"/>
      <w:r w:rsidRPr="006A3388">
        <w:rPr>
          <w:rFonts w:eastAsia="Times New Roman" w:cs="Arial"/>
          <w:b/>
          <w:color w:val="222222"/>
          <w:sz w:val="28"/>
          <w:szCs w:val="19"/>
        </w:rPr>
        <w:t>Draft Rubric for Evaluating Formative Assessment Tools</w:t>
      </w:r>
    </w:p>
    <w:p w14:paraId="1E6CE1E4" w14:textId="77777777" w:rsidR="00CA0D28" w:rsidRDefault="00CA0D28" w:rsidP="00CA0D28">
      <w:pPr>
        <w:shd w:val="clear" w:color="auto" w:fill="FFFFFF"/>
        <w:spacing w:after="0" w:line="240" w:lineRule="auto"/>
        <w:ind w:left="216"/>
        <w:rPr>
          <w:rFonts w:eastAsia="Times New Roman" w:cs="Arial"/>
          <w:color w:val="222222"/>
        </w:rPr>
      </w:pPr>
    </w:p>
    <w:p w14:paraId="5222984E" w14:textId="26C68DFB" w:rsidR="00CA0D28" w:rsidRPr="00CA0D28" w:rsidRDefault="00CA0D28" w:rsidP="00CA0D28">
      <w:pPr>
        <w:shd w:val="clear" w:color="auto" w:fill="FFFFFF"/>
        <w:spacing w:after="0" w:line="240" w:lineRule="auto"/>
        <w:ind w:left="216"/>
        <w:rPr>
          <w:rFonts w:eastAsia="Times New Roman" w:cs="Arial"/>
          <w:color w:val="222222"/>
        </w:rPr>
      </w:pPr>
      <w:r>
        <w:rPr>
          <w:rFonts w:eastAsia="Times New Roman" w:cs="Arial"/>
          <w:color w:val="222222"/>
        </w:rPr>
        <w:t>This rubric will be used to review the formative assessment documents that are submitted for the project stipend, after they have been piloted and revised.  Stipends will be awarded for products that are Satisfactory (or Strong) in elements 1 and 7, and at least 4 of</w:t>
      </w:r>
      <w:r w:rsidR="004578BC">
        <w:rPr>
          <w:rFonts w:eastAsia="Times New Roman" w:cs="Arial"/>
          <w:color w:val="222222"/>
        </w:rPr>
        <w:t xml:space="preserve"> the</w:t>
      </w:r>
      <w:r>
        <w:rPr>
          <w:rFonts w:eastAsia="Times New Roman" w:cs="Arial"/>
          <w:color w:val="222222"/>
        </w:rPr>
        <w:t xml:space="preserve"> other 5 elements. </w:t>
      </w:r>
    </w:p>
    <w:p w14:paraId="1439D62F" w14:textId="77777777" w:rsidR="006741EB" w:rsidRDefault="006741EB" w:rsidP="006741EB">
      <w:pPr>
        <w:spacing w:after="0"/>
      </w:pPr>
    </w:p>
    <w:tbl>
      <w:tblPr>
        <w:tblStyle w:val="TableGrid"/>
        <w:tblW w:w="0" w:type="auto"/>
        <w:tblLook w:val="00A0" w:firstRow="1" w:lastRow="0" w:firstColumn="1" w:lastColumn="0" w:noHBand="0" w:noVBand="0"/>
      </w:tblPr>
      <w:tblGrid>
        <w:gridCol w:w="2718"/>
        <w:gridCol w:w="3330"/>
        <w:gridCol w:w="4680"/>
        <w:gridCol w:w="3816"/>
      </w:tblGrid>
      <w:tr w:rsidR="006741EB" w14:paraId="6BAB8CD5" w14:textId="77777777">
        <w:tc>
          <w:tcPr>
            <w:tcW w:w="2718" w:type="dxa"/>
          </w:tcPr>
          <w:p w14:paraId="09DA877E" w14:textId="77777777" w:rsidR="006741EB" w:rsidRDefault="0091295A" w:rsidP="006741EB">
            <w:pPr>
              <w:spacing w:line="240" w:lineRule="auto"/>
            </w:pPr>
            <w:r>
              <w:t>Elements</w:t>
            </w:r>
          </w:p>
        </w:tc>
        <w:tc>
          <w:tcPr>
            <w:tcW w:w="3330" w:type="dxa"/>
          </w:tcPr>
          <w:p w14:paraId="1F8CAC04" w14:textId="77777777" w:rsidR="006741EB" w:rsidRDefault="006741EB" w:rsidP="00A34C64">
            <w:pPr>
              <w:spacing w:line="240" w:lineRule="auto"/>
            </w:pPr>
            <w:r>
              <w:t xml:space="preserve">Emerging </w:t>
            </w:r>
            <w:r w:rsidR="00B82A48">
              <w:t xml:space="preserve">(some </w:t>
            </w:r>
            <w:r w:rsidR="00A34C64">
              <w:t>common issues</w:t>
            </w:r>
            <w:r w:rsidR="00B82A48">
              <w:t>)</w:t>
            </w:r>
          </w:p>
        </w:tc>
        <w:tc>
          <w:tcPr>
            <w:tcW w:w="4680" w:type="dxa"/>
          </w:tcPr>
          <w:p w14:paraId="72AFD49D" w14:textId="77777777" w:rsidR="006741EB" w:rsidRDefault="006741EB" w:rsidP="006741EB">
            <w:pPr>
              <w:spacing w:line="240" w:lineRule="auto"/>
            </w:pPr>
            <w:r>
              <w:t xml:space="preserve">Satisfactory </w:t>
            </w:r>
          </w:p>
        </w:tc>
        <w:tc>
          <w:tcPr>
            <w:tcW w:w="3816" w:type="dxa"/>
          </w:tcPr>
          <w:p w14:paraId="5E7C8FF5" w14:textId="77777777" w:rsidR="006741EB" w:rsidRDefault="006741EB" w:rsidP="006741EB">
            <w:pPr>
              <w:spacing w:line="240" w:lineRule="auto"/>
            </w:pPr>
            <w:r>
              <w:t>Strong (satisfactory plus . . . )</w:t>
            </w:r>
          </w:p>
        </w:tc>
      </w:tr>
      <w:tr w:rsidR="006741EB" w14:paraId="6B4FA126" w14:textId="77777777">
        <w:tc>
          <w:tcPr>
            <w:tcW w:w="2718" w:type="dxa"/>
          </w:tcPr>
          <w:p w14:paraId="2F46B79F" w14:textId="77777777" w:rsidR="006741EB" w:rsidRDefault="006741EB" w:rsidP="006741EB">
            <w:pPr>
              <w:pStyle w:val="ListParagraph"/>
              <w:numPr>
                <w:ilvl w:val="0"/>
                <w:numId w:val="2"/>
              </w:numPr>
              <w:spacing w:line="240" w:lineRule="auto"/>
            </w:pPr>
            <w:r>
              <w:t>Clear target</w:t>
            </w:r>
          </w:p>
        </w:tc>
        <w:tc>
          <w:tcPr>
            <w:tcW w:w="3330" w:type="dxa"/>
          </w:tcPr>
          <w:p w14:paraId="46FF2C7F" w14:textId="5B937DA5" w:rsidR="004578BC" w:rsidRDefault="004578BC" w:rsidP="004578BC">
            <w:pPr>
              <w:spacing w:line="240" w:lineRule="auto"/>
            </w:pPr>
            <w:r>
              <w:t>The tool/process captures one or more CCR standards OR the ability to apply the standards to a real task, but not both.</w:t>
            </w:r>
          </w:p>
        </w:tc>
        <w:tc>
          <w:tcPr>
            <w:tcW w:w="4680" w:type="dxa"/>
          </w:tcPr>
          <w:p w14:paraId="465AE6E4" w14:textId="77777777" w:rsidR="006741EB" w:rsidRDefault="00B82A48" w:rsidP="00E57B87">
            <w:pPr>
              <w:spacing w:line="240" w:lineRule="auto"/>
            </w:pPr>
            <w:r>
              <w:t xml:space="preserve">The tool/process is focused on gathering information about one or more CCR </w:t>
            </w:r>
            <w:r w:rsidR="0091295A">
              <w:t>standards</w:t>
            </w:r>
            <w:r>
              <w:t xml:space="preserve"> </w:t>
            </w:r>
            <w:r w:rsidR="00E57B87">
              <w:t xml:space="preserve">AND the ability to apply the standards to a real task. </w:t>
            </w:r>
          </w:p>
        </w:tc>
        <w:tc>
          <w:tcPr>
            <w:tcW w:w="3816" w:type="dxa"/>
          </w:tcPr>
          <w:p w14:paraId="2858A21B" w14:textId="77777777" w:rsidR="006741EB" w:rsidRDefault="006741EB" w:rsidP="006741EB">
            <w:pPr>
              <w:spacing w:line="240" w:lineRule="auto"/>
            </w:pPr>
          </w:p>
        </w:tc>
      </w:tr>
      <w:tr w:rsidR="006741EB" w14:paraId="187A3AF8" w14:textId="77777777">
        <w:tc>
          <w:tcPr>
            <w:tcW w:w="2718" w:type="dxa"/>
          </w:tcPr>
          <w:p w14:paraId="68E6299C" w14:textId="77777777" w:rsidR="006741EB" w:rsidRDefault="006741EB" w:rsidP="006741EB">
            <w:pPr>
              <w:pStyle w:val="ListParagraph"/>
              <w:numPr>
                <w:ilvl w:val="0"/>
                <w:numId w:val="2"/>
              </w:numPr>
              <w:spacing w:line="240" w:lineRule="auto"/>
            </w:pPr>
            <w:r>
              <w:t>Clear indicators</w:t>
            </w:r>
            <w:r w:rsidR="00A34C64">
              <w:t xml:space="preserve"> of progress</w:t>
            </w:r>
          </w:p>
        </w:tc>
        <w:tc>
          <w:tcPr>
            <w:tcW w:w="3330" w:type="dxa"/>
          </w:tcPr>
          <w:p w14:paraId="60D73AC8" w14:textId="77777777" w:rsidR="006741EB" w:rsidRDefault="00E57B87" w:rsidP="00E57B87">
            <w:pPr>
              <w:spacing w:line="240" w:lineRule="auto"/>
            </w:pPr>
            <w:r>
              <w:t xml:space="preserve">The </w:t>
            </w:r>
            <w:r w:rsidR="006A3388">
              <w:t xml:space="preserve">indicators are not </w:t>
            </w:r>
            <w:r>
              <w:t>clear</w:t>
            </w:r>
            <w:r w:rsidR="006A3388">
              <w:t>.</w:t>
            </w:r>
          </w:p>
        </w:tc>
        <w:tc>
          <w:tcPr>
            <w:tcW w:w="4680" w:type="dxa"/>
          </w:tcPr>
          <w:p w14:paraId="3BF70730" w14:textId="77777777" w:rsidR="006741EB" w:rsidRDefault="0091295A" w:rsidP="00E57B87">
            <w:pPr>
              <w:spacing w:line="240" w:lineRule="auto"/>
            </w:pPr>
            <w:r>
              <w:t xml:space="preserve">Tools </w:t>
            </w:r>
            <w:r w:rsidR="00E57B87">
              <w:t>are clear about what “good performance” looks like at the students’ level and there are c</w:t>
            </w:r>
            <w:r>
              <w:t>lear descriptors of what is being looked for as signs of learning (e.g., rubric elements)</w:t>
            </w:r>
          </w:p>
        </w:tc>
        <w:tc>
          <w:tcPr>
            <w:tcW w:w="3816" w:type="dxa"/>
          </w:tcPr>
          <w:p w14:paraId="0EDB91EF" w14:textId="77777777" w:rsidR="006741EB" w:rsidRDefault="00CA0D28" w:rsidP="006741EB">
            <w:pPr>
              <w:spacing w:line="240" w:lineRule="auto"/>
            </w:pPr>
            <w:r>
              <w:t>There are exemplars for students to see.</w:t>
            </w:r>
          </w:p>
        </w:tc>
      </w:tr>
      <w:tr w:rsidR="006741EB" w14:paraId="4D8DDC38" w14:textId="77777777">
        <w:tc>
          <w:tcPr>
            <w:tcW w:w="2718" w:type="dxa"/>
          </w:tcPr>
          <w:p w14:paraId="2434F7F7" w14:textId="77777777" w:rsidR="006741EB" w:rsidRDefault="00A34C64" w:rsidP="00A34C64">
            <w:pPr>
              <w:pStyle w:val="ListParagraph"/>
              <w:numPr>
                <w:ilvl w:val="0"/>
                <w:numId w:val="2"/>
              </w:numPr>
              <w:spacing w:line="240" w:lineRule="auto"/>
            </w:pPr>
            <w:r>
              <w:t>Options for demonstrating learning</w:t>
            </w:r>
          </w:p>
        </w:tc>
        <w:tc>
          <w:tcPr>
            <w:tcW w:w="3330" w:type="dxa"/>
          </w:tcPr>
          <w:p w14:paraId="1F19773B" w14:textId="77777777" w:rsidR="006741EB" w:rsidRDefault="006A3388" w:rsidP="006A3388">
            <w:pPr>
              <w:spacing w:line="240" w:lineRule="auto"/>
            </w:pPr>
            <w:r>
              <w:t xml:space="preserve">The tool/process puts individuals on the spot in unproductive ways or is imbalanced toward </w:t>
            </w:r>
            <w:r w:rsidR="00CA0D28">
              <w:t xml:space="preserve">finding weaknesses rather than </w:t>
            </w:r>
            <w:r>
              <w:t>identifying strengths.</w:t>
            </w:r>
          </w:p>
        </w:tc>
        <w:tc>
          <w:tcPr>
            <w:tcW w:w="4680" w:type="dxa"/>
          </w:tcPr>
          <w:p w14:paraId="2EFFC443" w14:textId="77777777" w:rsidR="006741EB" w:rsidRDefault="00B82A48" w:rsidP="00B82A48">
            <w:pPr>
              <w:spacing w:line="240" w:lineRule="auto"/>
            </w:pPr>
            <w:r>
              <w:t>The tool/process is inclusive in that it doesn’t expose individuals, offers options for the way understanding is demonstrated, and/or looks for aggregate information about the group’s learning.</w:t>
            </w:r>
          </w:p>
        </w:tc>
        <w:tc>
          <w:tcPr>
            <w:tcW w:w="3816" w:type="dxa"/>
          </w:tcPr>
          <w:p w14:paraId="2519102A" w14:textId="77777777" w:rsidR="006741EB" w:rsidRDefault="006741EB" w:rsidP="006741EB">
            <w:pPr>
              <w:spacing w:line="240" w:lineRule="auto"/>
            </w:pPr>
          </w:p>
        </w:tc>
      </w:tr>
      <w:tr w:rsidR="006741EB" w14:paraId="75257435" w14:textId="77777777">
        <w:tc>
          <w:tcPr>
            <w:tcW w:w="2718" w:type="dxa"/>
          </w:tcPr>
          <w:p w14:paraId="56463CB0" w14:textId="77777777" w:rsidR="006741EB" w:rsidRDefault="006741EB" w:rsidP="006741EB">
            <w:pPr>
              <w:pStyle w:val="ListParagraph"/>
              <w:numPr>
                <w:ilvl w:val="0"/>
                <w:numId w:val="2"/>
              </w:numPr>
              <w:spacing w:line="240" w:lineRule="auto"/>
            </w:pPr>
            <w:r>
              <w:t>Information gleaned</w:t>
            </w:r>
          </w:p>
        </w:tc>
        <w:tc>
          <w:tcPr>
            <w:tcW w:w="3330" w:type="dxa"/>
          </w:tcPr>
          <w:p w14:paraId="5F931ECD" w14:textId="77777777" w:rsidR="006741EB" w:rsidRDefault="006A3388" w:rsidP="00E57B87">
            <w:pPr>
              <w:spacing w:line="240" w:lineRule="auto"/>
            </w:pPr>
            <w:r>
              <w:t xml:space="preserve">The tool/process captures sub-skills </w:t>
            </w:r>
            <w:r w:rsidR="00E57B87">
              <w:t xml:space="preserve">or knowledge </w:t>
            </w:r>
            <w:r>
              <w:t xml:space="preserve">but not whether students can apply </w:t>
            </w:r>
            <w:r w:rsidR="00E57B87">
              <w:t>them in a realistic situation</w:t>
            </w:r>
            <w:r>
              <w:t>; information collected does not alter instructor’s lesson planning or is not shared/discussed with students.</w:t>
            </w:r>
          </w:p>
        </w:tc>
        <w:tc>
          <w:tcPr>
            <w:tcW w:w="4680" w:type="dxa"/>
          </w:tcPr>
          <w:p w14:paraId="2A1189C6" w14:textId="77777777" w:rsidR="006741EB" w:rsidRDefault="006A7031" w:rsidP="00A34C64">
            <w:pPr>
              <w:spacing w:line="240" w:lineRule="auto"/>
            </w:pPr>
            <w:r>
              <w:t>The tool/process provides information about the students’ conceptual understanding</w:t>
            </w:r>
            <w:r w:rsidR="00E57B87">
              <w:t xml:space="preserve"> or skill development,</w:t>
            </w:r>
            <w:r>
              <w:t xml:space="preserve"> and </w:t>
            </w:r>
            <w:r w:rsidR="00E57B87">
              <w:t xml:space="preserve">the </w:t>
            </w:r>
            <w:r>
              <w:t xml:space="preserve">ability to apply what was learned to authentic life tasks. </w:t>
            </w:r>
            <w:r w:rsidR="006741EB">
              <w:t>Information from the tool/proce</w:t>
            </w:r>
            <w:r w:rsidR="00A34C64">
              <w:t>ss is used by the instructor to</w:t>
            </w:r>
            <w:r w:rsidR="006741EB">
              <w:t xml:space="preserve"> inform instruction and to </w:t>
            </w:r>
            <w:r w:rsidR="00E57B87">
              <w:t xml:space="preserve">give and </w:t>
            </w:r>
            <w:r w:rsidR="00A34C64">
              <w:t xml:space="preserve">discuss useful, descriptive feedback with </w:t>
            </w:r>
            <w:r w:rsidR="006741EB">
              <w:t>the student.</w:t>
            </w:r>
          </w:p>
        </w:tc>
        <w:tc>
          <w:tcPr>
            <w:tcW w:w="3816" w:type="dxa"/>
          </w:tcPr>
          <w:p w14:paraId="7DDF2899" w14:textId="77777777" w:rsidR="006741EB" w:rsidRDefault="006A7031" w:rsidP="006A7031">
            <w:pPr>
              <w:spacing w:line="240" w:lineRule="auto"/>
            </w:pPr>
            <w:r>
              <w:t xml:space="preserve">The tool/process </w:t>
            </w:r>
            <w:r w:rsidR="00A34C64">
              <w:t xml:space="preserve">prompts discussion of learning. It </w:t>
            </w:r>
            <w:r>
              <w:t>invites the student to give feedback to the teacher about the lesson</w:t>
            </w:r>
            <w:r w:rsidR="0091295A">
              <w:t xml:space="preserve"> and how well it helped them learn.</w:t>
            </w:r>
          </w:p>
        </w:tc>
      </w:tr>
      <w:tr w:rsidR="006741EB" w14:paraId="0B521E12" w14:textId="77777777">
        <w:tc>
          <w:tcPr>
            <w:tcW w:w="2718" w:type="dxa"/>
          </w:tcPr>
          <w:p w14:paraId="38E8148F" w14:textId="77777777" w:rsidR="006741EB" w:rsidRDefault="006741EB" w:rsidP="006741EB">
            <w:pPr>
              <w:pStyle w:val="ListParagraph"/>
              <w:numPr>
                <w:ilvl w:val="0"/>
                <w:numId w:val="2"/>
              </w:numPr>
              <w:spacing w:line="240" w:lineRule="auto"/>
            </w:pPr>
            <w:r>
              <w:t>Student involvement</w:t>
            </w:r>
          </w:p>
        </w:tc>
        <w:tc>
          <w:tcPr>
            <w:tcW w:w="3330" w:type="dxa"/>
          </w:tcPr>
          <w:p w14:paraId="3A697CCE" w14:textId="77777777" w:rsidR="006741EB" w:rsidRDefault="006A3388" w:rsidP="006741EB">
            <w:pPr>
              <w:spacing w:line="240" w:lineRule="auto"/>
            </w:pPr>
            <w:r>
              <w:t>Students are left out of the process.</w:t>
            </w:r>
          </w:p>
        </w:tc>
        <w:tc>
          <w:tcPr>
            <w:tcW w:w="4680" w:type="dxa"/>
          </w:tcPr>
          <w:p w14:paraId="7BE5AFEB" w14:textId="77777777" w:rsidR="006741EB" w:rsidRDefault="006741EB" w:rsidP="006741EB">
            <w:pPr>
              <w:spacing w:line="240" w:lineRule="auto"/>
            </w:pPr>
            <w:r>
              <w:t xml:space="preserve">Students are involved in the development and/or </w:t>
            </w:r>
            <w:r w:rsidR="006A7031">
              <w:t>use of the tool/process.</w:t>
            </w:r>
            <w:r w:rsidR="00B82A48">
              <w:t xml:space="preserve"> Students are involved in the interpretation of the tool’s results and/or tracking of their learning.</w:t>
            </w:r>
          </w:p>
        </w:tc>
        <w:tc>
          <w:tcPr>
            <w:tcW w:w="3816" w:type="dxa"/>
          </w:tcPr>
          <w:p w14:paraId="359AB658" w14:textId="77777777" w:rsidR="006741EB" w:rsidRDefault="006741EB" w:rsidP="006741EB">
            <w:pPr>
              <w:spacing w:line="240" w:lineRule="auto"/>
            </w:pPr>
          </w:p>
        </w:tc>
      </w:tr>
      <w:tr w:rsidR="006A7031" w14:paraId="076AD9CF" w14:textId="77777777">
        <w:tc>
          <w:tcPr>
            <w:tcW w:w="2718" w:type="dxa"/>
          </w:tcPr>
          <w:p w14:paraId="685852AE" w14:textId="77777777" w:rsidR="006A7031" w:rsidRDefault="006A7031" w:rsidP="006741EB">
            <w:pPr>
              <w:pStyle w:val="ListParagraph"/>
              <w:numPr>
                <w:ilvl w:val="0"/>
                <w:numId w:val="2"/>
              </w:numPr>
              <w:spacing w:line="240" w:lineRule="auto"/>
            </w:pPr>
            <w:r>
              <w:t>Practicality</w:t>
            </w:r>
          </w:p>
        </w:tc>
        <w:tc>
          <w:tcPr>
            <w:tcW w:w="3330" w:type="dxa"/>
          </w:tcPr>
          <w:p w14:paraId="1F68DB9E" w14:textId="77777777" w:rsidR="006A7031" w:rsidRDefault="006A3388" w:rsidP="00E57B87">
            <w:pPr>
              <w:spacing w:line="240" w:lineRule="auto"/>
            </w:pPr>
            <w:r>
              <w:t>Tool/process is too ambitious</w:t>
            </w:r>
            <w:r w:rsidR="00E57B87">
              <w:t>, or</w:t>
            </w:r>
            <w:r>
              <w:t xml:space="preserve"> is really summative.</w:t>
            </w:r>
          </w:p>
        </w:tc>
        <w:tc>
          <w:tcPr>
            <w:tcW w:w="4680" w:type="dxa"/>
          </w:tcPr>
          <w:p w14:paraId="14BE0049" w14:textId="77777777" w:rsidR="006A7031" w:rsidRDefault="006A7031" w:rsidP="006741EB">
            <w:pPr>
              <w:spacing w:line="240" w:lineRule="auto"/>
            </w:pPr>
            <w:r>
              <w:t xml:space="preserve">The tool/process </w:t>
            </w:r>
            <w:r w:rsidR="00B82A48">
              <w:t>is usable immediately after instruction</w:t>
            </w:r>
            <w:r w:rsidR="00A34C64">
              <w:t xml:space="preserve"> and is compact enough to be doable.</w:t>
            </w:r>
          </w:p>
        </w:tc>
        <w:tc>
          <w:tcPr>
            <w:tcW w:w="3816" w:type="dxa"/>
          </w:tcPr>
          <w:p w14:paraId="581DB9B9" w14:textId="77777777" w:rsidR="006A7031" w:rsidRDefault="006A7031" w:rsidP="006741EB">
            <w:pPr>
              <w:spacing w:line="240" w:lineRule="auto"/>
            </w:pPr>
          </w:p>
        </w:tc>
      </w:tr>
      <w:tr w:rsidR="006741EB" w14:paraId="30F3E8F1" w14:textId="77777777">
        <w:tc>
          <w:tcPr>
            <w:tcW w:w="2718" w:type="dxa"/>
          </w:tcPr>
          <w:p w14:paraId="29328762" w14:textId="77777777" w:rsidR="006741EB" w:rsidRDefault="006741EB" w:rsidP="006741EB">
            <w:pPr>
              <w:pStyle w:val="ListParagraph"/>
              <w:numPr>
                <w:ilvl w:val="0"/>
                <w:numId w:val="2"/>
              </w:numPr>
              <w:spacing w:line="240" w:lineRule="auto"/>
            </w:pPr>
            <w:r>
              <w:t>Guiding notes</w:t>
            </w:r>
          </w:p>
        </w:tc>
        <w:tc>
          <w:tcPr>
            <w:tcW w:w="3330" w:type="dxa"/>
          </w:tcPr>
          <w:p w14:paraId="12808263" w14:textId="77777777" w:rsidR="006741EB" w:rsidRDefault="006A3388" w:rsidP="006741EB">
            <w:pPr>
              <w:spacing w:line="240" w:lineRule="auto"/>
            </w:pPr>
            <w:r>
              <w:t>Not clear to others how to use the tool.</w:t>
            </w:r>
          </w:p>
        </w:tc>
        <w:tc>
          <w:tcPr>
            <w:tcW w:w="4680" w:type="dxa"/>
          </w:tcPr>
          <w:p w14:paraId="6716C3E3" w14:textId="77777777" w:rsidR="006741EB" w:rsidRDefault="006A7031" w:rsidP="006A7031">
            <w:pPr>
              <w:spacing w:line="240" w:lineRule="auto"/>
            </w:pPr>
            <w:r>
              <w:t xml:space="preserve">Guiding notes describe the purpose and use of the tool/process and, if not self-explanatory, how the tool accomplishes items 1-5. </w:t>
            </w:r>
          </w:p>
        </w:tc>
        <w:tc>
          <w:tcPr>
            <w:tcW w:w="3816" w:type="dxa"/>
          </w:tcPr>
          <w:p w14:paraId="6F65D6F2" w14:textId="77777777" w:rsidR="006741EB" w:rsidRDefault="006741EB" w:rsidP="006741EB">
            <w:pPr>
              <w:spacing w:line="240" w:lineRule="auto"/>
            </w:pPr>
          </w:p>
        </w:tc>
      </w:tr>
    </w:tbl>
    <w:p w14:paraId="183C361A" w14:textId="77777777" w:rsidR="006741EB" w:rsidRDefault="006741EB" w:rsidP="006741EB">
      <w:pPr>
        <w:spacing w:after="0" w:line="240" w:lineRule="auto"/>
      </w:pPr>
    </w:p>
    <w:p w14:paraId="58F44109" w14:textId="77777777" w:rsidR="006741EB" w:rsidRDefault="006741EB" w:rsidP="006741EB">
      <w:pPr>
        <w:spacing w:after="0" w:line="240" w:lineRule="auto"/>
      </w:pPr>
    </w:p>
    <w:p w14:paraId="2D6FDBF3" w14:textId="77777777" w:rsidR="006741EB" w:rsidRDefault="006741EB" w:rsidP="006741EB">
      <w:pPr>
        <w:spacing w:after="0" w:line="240" w:lineRule="auto"/>
      </w:pPr>
    </w:p>
    <w:sectPr w:rsidR="006741EB" w:rsidSect="006741EB">
      <w:pgSz w:w="15840" w:h="12240" w:orient="landscape"/>
      <w:pgMar w:top="720" w:right="720" w:bottom="720" w:left="792"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FAC2E" w15:done="0"/>
  <w15:commentEx w15:paraId="7E1D6601" w15:done="0"/>
  <w15:commentEx w15:paraId="48DF39F6" w15:done="0"/>
  <w15:commentEx w15:paraId="36BF67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EDC"/>
    <w:multiLevelType w:val="hybridMultilevel"/>
    <w:tmpl w:val="22AEA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0D84CA7"/>
    <w:multiLevelType w:val="hybridMultilevel"/>
    <w:tmpl w:val="0E820F62"/>
    <w:lvl w:ilvl="0" w:tplc="766A5FA2">
      <w:start w:val="1"/>
      <w:numFmt w:val="bullet"/>
      <w:lvlText w:val=""/>
      <w:lvlJc w:val="left"/>
      <w:pPr>
        <w:tabs>
          <w:tab w:val="num" w:pos="216"/>
        </w:tabs>
        <w:ind w:left="216" w:hanging="216"/>
      </w:pPr>
      <w:rPr>
        <w:rFonts w:ascii="Symbol" w:hAnsi="Symbol" w:hint="default"/>
      </w:rPr>
    </w:lvl>
    <w:lvl w:ilvl="1" w:tplc="94CE2808">
      <w:start w:val="10"/>
      <w:numFmt w:val="bullet"/>
      <w:lvlText w:val="-"/>
      <w:lvlJc w:val="left"/>
      <w:pPr>
        <w:ind w:left="1440" w:hanging="360"/>
      </w:pPr>
      <w:rPr>
        <w:rFonts w:ascii="Calibri" w:eastAsia="Times New Roman" w:hAnsi="Calibri"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Rivera">
    <w15:presenceInfo w15:providerId="Windows Live" w15:userId="845c68fae3a1e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41EB"/>
    <w:rsid w:val="001839F5"/>
    <w:rsid w:val="00304229"/>
    <w:rsid w:val="003070B8"/>
    <w:rsid w:val="004578BC"/>
    <w:rsid w:val="00560A80"/>
    <w:rsid w:val="006741EB"/>
    <w:rsid w:val="006A3388"/>
    <w:rsid w:val="006A7031"/>
    <w:rsid w:val="0084730F"/>
    <w:rsid w:val="0091295A"/>
    <w:rsid w:val="00A34C64"/>
    <w:rsid w:val="00B07C9E"/>
    <w:rsid w:val="00B82A48"/>
    <w:rsid w:val="00C36938"/>
    <w:rsid w:val="00CA0D28"/>
    <w:rsid w:val="00E57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EB"/>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1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41EB"/>
    <w:pPr>
      <w:ind w:left="720"/>
      <w:contextualSpacing/>
    </w:pPr>
  </w:style>
  <w:style w:type="character" w:styleId="CommentReference">
    <w:name w:val="annotation reference"/>
    <w:basedOn w:val="DefaultParagraphFont"/>
    <w:uiPriority w:val="99"/>
    <w:semiHidden/>
    <w:unhideWhenUsed/>
    <w:rsid w:val="00304229"/>
    <w:rPr>
      <w:sz w:val="16"/>
      <w:szCs w:val="16"/>
    </w:rPr>
  </w:style>
  <w:style w:type="paragraph" w:styleId="CommentText">
    <w:name w:val="annotation text"/>
    <w:basedOn w:val="Normal"/>
    <w:link w:val="CommentTextChar"/>
    <w:uiPriority w:val="99"/>
    <w:semiHidden/>
    <w:unhideWhenUsed/>
    <w:rsid w:val="00304229"/>
    <w:pPr>
      <w:spacing w:line="240" w:lineRule="auto"/>
    </w:pPr>
    <w:rPr>
      <w:sz w:val="20"/>
      <w:szCs w:val="20"/>
    </w:rPr>
  </w:style>
  <w:style w:type="character" w:customStyle="1" w:styleId="CommentTextChar">
    <w:name w:val="Comment Text Char"/>
    <w:basedOn w:val="DefaultParagraphFont"/>
    <w:link w:val="CommentText"/>
    <w:uiPriority w:val="99"/>
    <w:semiHidden/>
    <w:rsid w:val="003042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4229"/>
    <w:rPr>
      <w:b/>
      <w:bCs/>
    </w:rPr>
  </w:style>
  <w:style w:type="character" w:customStyle="1" w:styleId="CommentSubjectChar">
    <w:name w:val="Comment Subject Char"/>
    <w:basedOn w:val="CommentTextChar"/>
    <w:link w:val="CommentSubject"/>
    <w:uiPriority w:val="99"/>
    <w:semiHidden/>
    <w:rsid w:val="0030422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0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2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anash</cp:lastModifiedBy>
  <cp:revision>2</cp:revision>
  <dcterms:created xsi:type="dcterms:W3CDTF">2016-06-30T14:55:00Z</dcterms:created>
  <dcterms:modified xsi:type="dcterms:W3CDTF">2016-06-30T14:55:00Z</dcterms:modified>
</cp:coreProperties>
</file>